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F6D" w:rsidRDefault="004D7F6D">
      <w:pPr>
        <w:jc w:val="center"/>
        <w:rPr>
          <w:b/>
          <w:sz w:val="26"/>
          <w:szCs w:val="26"/>
        </w:rPr>
      </w:pPr>
    </w:p>
    <w:tbl>
      <w:tblPr>
        <w:tblStyle w:val="a"/>
        <w:tblW w:w="13935"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7050"/>
        <w:gridCol w:w="4080"/>
      </w:tblGrid>
      <w:tr w:rsidR="004D7F6D" w:rsidTr="00110FB6">
        <w:trPr>
          <w:trHeight w:val="258"/>
        </w:trPr>
        <w:tc>
          <w:tcPr>
            <w:tcW w:w="13935" w:type="dxa"/>
            <w:gridSpan w:val="3"/>
            <w:shd w:val="clear" w:color="auto" w:fill="E2EFD9" w:themeFill="accent6" w:themeFillTint="33"/>
            <w:tcMar>
              <w:top w:w="100" w:type="dxa"/>
              <w:left w:w="100" w:type="dxa"/>
              <w:bottom w:w="100" w:type="dxa"/>
              <w:right w:w="100" w:type="dxa"/>
            </w:tcMar>
          </w:tcPr>
          <w:p w:rsidR="004D7F6D" w:rsidRPr="00FF4614" w:rsidRDefault="00000000" w:rsidP="00110FB6">
            <w:pPr>
              <w:pStyle w:val="Heading2"/>
              <w:keepNext w:val="0"/>
              <w:keepLines w:val="0"/>
              <w:spacing w:before="0" w:after="0"/>
              <w:jc w:val="center"/>
              <w:rPr>
                <w:rFonts w:asciiTheme="majorHAnsi" w:hAnsiTheme="majorHAnsi" w:cstheme="majorHAnsi"/>
                <w:b/>
                <w:sz w:val="20"/>
                <w:szCs w:val="20"/>
              </w:rPr>
            </w:pPr>
            <w:bookmarkStart w:id="0" w:name="_u2cwte2wtzg8" w:colFirst="0" w:colLast="0"/>
            <w:bookmarkEnd w:id="0"/>
            <w:r w:rsidRPr="00FF4614">
              <w:rPr>
                <w:rFonts w:asciiTheme="majorHAnsi" w:hAnsiTheme="majorHAnsi" w:cstheme="majorHAnsi"/>
                <w:b/>
                <w:sz w:val="20"/>
                <w:szCs w:val="20"/>
              </w:rPr>
              <w:t>CA English Learner Roadmap Principle 2 Element Alignment Tool</w:t>
            </w:r>
          </w:p>
        </w:tc>
      </w:tr>
      <w:tr w:rsidR="004D7F6D" w:rsidTr="00110FB6">
        <w:trPr>
          <w:trHeight w:val="969"/>
        </w:trPr>
        <w:tc>
          <w:tcPr>
            <w:tcW w:w="13935" w:type="dxa"/>
            <w:gridSpan w:val="3"/>
            <w:shd w:val="clear" w:color="auto" w:fill="E2EFD9" w:themeFill="accent6" w:themeFillTint="33"/>
            <w:tcMar>
              <w:top w:w="100" w:type="dxa"/>
              <w:left w:w="100" w:type="dxa"/>
              <w:bottom w:w="100" w:type="dxa"/>
              <w:right w:w="100" w:type="dxa"/>
            </w:tcMar>
          </w:tcPr>
          <w:p w:rsidR="004D7F6D" w:rsidRPr="00FF4614" w:rsidRDefault="00000000" w:rsidP="00110FB6">
            <w:pPr>
              <w:pStyle w:val="Heading2"/>
              <w:spacing w:before="0" w:after="0" w:line="259" w:lineRule="auto"/>
              <w:rPr>
                <w:rFonts w:asciiTheme="majorHAnsi" w:hAnsiTheme="majorHAnsi" w:cstheme="majorHAnsi"/>
                <w:b/>
                <w:sz w:val="20"/>
                <w:szCs w:val="20"/>
              </w:rPr>
            </w:pPr>
            <w:r w:rsidRPr="00FF4614">
              <w:rPr>
                <w:rFonts w:asciiTheme="majorHAnsi" w:hAnsiTheme="majorHAnsi" w:cstheme="majorHAnsi"/>
                <w:b/>
                <w:sz w:val="20"/>
                <w:szCs w:val="20"/>
              </w:rPr>
              <w:t>Principle #2: Intellectual Quality of Instruction and Meaningful Access</w:t>
            </w:r>
          </w:p>
          <w:p w:rsidR="004D7F6D" w:rsidRPr="00FF4614" w:rsidRDefault="00000000" w:rsidP="00110FB6">
            <w:pPr>
              <w:spacing w:line="259" w:lineRule="auto"/>
              <w:rPr>
                <w:rFonts w:asciiTheme="majorHAnsi" w:hAnsiTheme="majorHAnsi" w:cstheme="majorHAnsi"/>
                <w:b/>
                <w:sz w:val="20"/>
                <w:szCs w:val="20"/>
              </w:rPr>
            </w:pPr>
            <w:r w:rsidRPr="00FF4614">
              <w:rPr>
                <w:rFonts w:asciiTheme="majorHAnsi" w:hAnsiTheme="majorHAnsi" w:cstheme="majorHAnsi"/>
                <w:sz w:val="20"/>
                <w:szCs w:val="20"/>
              </w:rPr>
              <w:t>English learners engage in intellectually rich, developmentally appropriate learning experiences that foster high levels of English proficiency. These experiences integrate language development, literacy, and content learning as well as provide access for comprehension and participation through native language instruction and scaffolding. English learners have meaningful access to a full standards-based and relevant curriculum and the opportunity to develop proficiency in English and other languages.</w:t>
            </w:r>
          </w:p>
        </w:tc>
      </w:tr>
      <w:tr w:rsidR="004D7F6D" w:rsidTr="00110FB6">
        <w:trPr>
          <w:trHeight w:val="420"/>
        </w:trPr>
        <w:tc>
          <w:tcPr>
            <w:tcW w:w="2805" w:type="dxa"/>
            <w:shd w:val="clear" w:color="auto" w:fill="FFF2CC" w:themeFill="accent4" w:themeFillTint="33"/>
            <w:tcMar>
              <w:top w:w="100" w:type="dxa"/>
              <w:left w:w="100" w:type="dxa"/>
              <w:bottom w:w="100" w:type="dxa"/>
              <w:right w:w="100" w:type="dxa"/>
            </w:tcMar>
          </w:tcPr>
          <w:p w:rsidR="004D7F6D" w:rsidRPr="00FF4614" w:rsidRDefault="00000000" w:rsidP="00110FB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t>Element</w:t>
            </w:r>
          </w:p>
        </w:tc>
        <w:tc>
          <w:tcPr>
            <w:tcW w:w="7050" w:type="dxa"/>
            <w:shd w:val="clear" w:color="auto" w:fill="FFF2CC" w:themeFill="accent4" w:themeFillTint="33"/>
            <w:tcMar>
              <w:top w:w="100" w:type="dxa"/>
              <w:left w:w="100" w:type="dxa"/>
              <w:bottom w:w="100" w:type="dxa"/>
              <w:right w:w="100" w:type="dxa"/>
            </w:tcMar>
          </w:tcPr>
          <w:p w:rsidR="004D7F6D" w:rsidRPr="00FF4614" w:rsidRDefault="00000000" w:rsidP="00110FB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t>Questions based on essential features of designated ELD and EL FPM Instrument (EL 14)</w:t>
            </w:r>
          </w:p>
        </w:tc>
        <w:tc>
          <w:tcPr>
            <w:tcW w:w="4080" w:type="dxa"/>
            <w:shd w:val="clear" w:color="auto" w:fill="FFF2CC" w:themeFill="accent4" w:themeFillTint="33"/>
            <w:tcMar>
              <w:top w:w="100" w:type="dxa"/>
              <w:left w:w="100" w:type="dxa"/>
              <w:bottom w:w="100" w:type="dxa"/>
              <w:right w:w="100" w:type="dxa"/>
            </w:tcMar>
          </w:tcPr>
          <w:p w:rsidR="004D7F6D" w:rsidRPr="00FF4614" w:rsidRDefault="00000000" w:rsidP="00110FB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t>Evidence/Notes</w:t>
            </w:r>
          </w:p>
        </w:tc>
      </w:tr>
      <w:tr w:rsidR="004D7F6D">
        <w:trPr>
          <w:trHeight w:val="420"/>
        </w:trPr>
        <w:tc>
          <w:tcPr>
            <w:tcW w:w="2805" w:type="dxa"/>
            <w:vMerge w:val="restart"/>
            <w:shd w:val="clear" w:color="auto" w:fill="auto"/>
            <w:tcMar>
              <w:top w:w="100" w:type="dxa"/>
              <w:left w:w="100" w:type="dxa"/>
              <w:bottom w:w="100" w:type="dxa"/>
              <w:right w:w="100" w:type="dxa"/>
            </w:tcMar>
          </w:tcPr>
          <w:p w:rsidR="004D7F6D" w:rsidRPr="00FF4614" w:rsidRDefault="00000000" w:rsidP="00110FB6">
            <w:pPr>
              <w:widowControl w:val="0"/>
              <w:rPr>
                <w:rFonts w:asciiTheme="majorHAnsi" w:hAnsiTheme="majorHAnsi" w:cstheme="majorHAnsi"/>
                <w:b/>
                <w:sz w:val="20"/>
                <w:szCs w:val="20"/>
              </w:rPr>
            </w:pPr>
            <w:r w:rsidRPr="00FF4614">
              <w:rPr>
                <w:rFonts w:asciiTheme="majorHAnsi" w:hAnsiTheme="majorHAnsi" w:cstheme="majorHAnsi"/>
                <w:b/>
                <w:sz w:val="20"/>
                <w:szCs w:val="20"/>
              </w:rPr>
              <w:t>A</w:t>
            </w:r>
            <w:r w:rsidRPr="00FF4614">
              <w:rPr>
                <w:rFonts w:asciiTheme="majorHAnsi" w:hAnsiTheme="majorHAnsi" w:cstheme="majorHAnsi"/>
                <w:sz w:val="20"/>
                <w:szCs w:val="20"/>
              </w:rPr>
              <w:t xml:space="preserve">. Language development occurs in and through subject matter learning and is </w:t>
            </w:r>
            <w:r w:rsidRPr="00FF4614">
              <w:rPr>
                <w:rFonts w:asciiTheme="majorHAnsi" w:hAnsiTheme="majorHAnsi" w:cstheme="majorHAnsi"/>
                <w:b/>
                <w:sz w:val="20"/>
                <w:szCs w:val="20"/>
              </w:rPr>
              <w:t xml:space="preserve">integrated </w:t>
            </w:r>
            <w:r w:rsidRPr="00FF4614">
              <w:rPr>
                <w:rFonts w:asciiTheme="majorHAnsi" w:hAnsiTheme="majorHAnsi" w:cstheme="majorHAnsi"/>
                <w:sz w:val="20"/>
                <w:szCs w:val="20"/>
              </w:rPr>
              <w:t xml:space="preserve">across the curriculum, including integrated English language development (ELD) and </w:t>
            </w:r>
            <w:r w:rsidRPr="00110FB6">
              <w:rPr>
                <w:rFonts w:asciiTheme="majorHAnsi" w:hAnsiTheme="majorHAnsi" w:cstheme="majorHAnsi"/>
                <w:b/>
                <w:bCs/>
                <w:sz w:val="20"/>
                <w:szCs w:val="20"/>
              </w:rPr>
              <w:t>designated ELD</w:t>
            </w:r>
            <w:r w:rsidRPr="00110FB6">
              <w:rPr>
                <w:rFonts w:asciiTheme="majorHAnsi" w:hAnsiTheme="majorHAnsi" w:cstheme="majorHAnsi"/>
                <w:sz w:val="20"/>
                <w:szCs w:val="20"/>
              </w:rPr>
              <w:t xml:space="preserve"> </w:t>
            </w:r>
            <w:r w:rsidRPr="00FF4614">
              <w:rPr>
                <w:rFonts w:asciiTheme="majorHAnsi" w:hAnsiTheme="majorHAnsi" w:cstheme="majorHAnsi"/>
                <w:sz w:val="20"/>
                <w:szCs w:val="20"/>
              </w:rPr>
              <w:t>(per the English Language Arts (ELA)/ELD Framework pages 891–892).</w:t>
            </w:r>
          </w:p>
        </w:tc>
        <w:tc>
          <w:tcPr>
            <w:tcW w:w="7050" w:type="dxa"/>
            <w:vMerge w:val="restart"/>
            <w:shd w:val="clear" w:color="auto" w:fill="auto"/>
            <w:tcMar>
              <w:top w:w="100" w:type="dxa"/>
              <w:left w:w="100" w:type="dxa"/>
              <w:bottom w:w="100" w:type="dxa"/>
              <w:right w:w="100" w:type="dxa"/>
            </w:tcMar>
          </w:tcPr>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Academic English Focus</w:t>
            </w:r>
            <w:r w:rsidRPr="00FF4614">
              <w:rPr>
                <w:rFonts w:asciiTheme="majorHAnsi" w:hAnsiTheme="majorHAnsi" w:cstheme="majorHAnsi"/>
                <w:sz w:val="20"/>
                <w:szCs w:val="20"/>
              </w:rPr>
              <w:t>: How does the district/teaching staff ensure that teachers’ instruction is based on the CA ELD Standards and the CA CCSS for ELA / Literacy?</w:t>
            </w:r>
          </w:p>
          <w:p w:rsidR="00110FB6" w:rsidRDefault="00110FB6" w:rsidP="00110FB6">
            <w:pPr>
              <w:rPr>
                <w:rFonts w:asciiTheme="majorHAnsi" w:hAnsiTheme="majorHAnsi" w:cstheme="majorHAnsi"/>
                <w:b/>
                <w:sz w:val="20"/>
                <w:szCs w:val="20"/>
                <w:u w:val="single"/>
              </w:rPr>
            </w:pPr>
          </w:p>
          <w:p w:rsidR="004D7F6D" w:rsidRPr="00FF4614" w:rsidRDefault="00000000" w:rsidP="00110FB6">
            <w:pPr>
              <w:rPr>
                <w:rFonts w:asciiTheme="majorHAnsi" w:hAnsiTheme="majorHAnsi" w:cstheme="majorHAnsi"/>
                <w:b/>
                <w:sz w:val="20"/>
                <w:szCs w:val="20"/>
                <w:u w:val="single"/>
              </w:rPr>
            </w:pPr>
            <w:r w:rsidRPr="00FF4614">
              <w:rPr>
                <w:rFonts w:asciiTheme="majorHAnsi" w:hAnsiTheme="majorHAnsi" w:cstheme="majorHAnsi"/>
                <w:b/>
                <w:sz w:val="20"/>
                <w:szCs w:val="20"/>
                <w:u w:val="single"/>
              </w:rPr>
              <w:t xml:space="preserve">English Learner Federal Program Monitoring Instrument: </w:t>
            </w:r>
          </w:p>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sz w:val="20"/>
                <w:szCs w:val="20"/>
              </w:rPr>
              <w:t>How does the district ensure and what evidence is there that the district conducts an evaluation of whether your district’s comprehensive ELD program has been implemented effectively and whether adjustments are needed to assist EL students in overcoming language barriers within a reasonable amount of time?</w:t>
            </w:r>
          </w:p>
        </w:tc>
        <w:tc>
          <w:tcPr>
            <w:tcW w:w="4080" w:type="dxa"/>
            <w:vMerge w:val="restart"/>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trike/>
                <w:sz w:val="20"/>
                <w:szCs w:val="20"/>
                <w:u w:val="single"/>
                <w:shd w:val="clear" w:color="auto" w:fill="FFF2CC"/>
              </w:rPr>
            </w:pPr>
          </w:p>
        </w:tc>
      </w:tr>
      <w:tr w:rsidR="004D7F6D">
        <w:trPr>
          <w:trHeight w:val="420"/>
        </w:trPr>
        <w:tc>
          <w:tcPr>
            <w:tcW w:w="2805" w:type="dxa"/>
            <w:vMerge/>
            <w:shd w:val="clear" w:color="auto" w:fill="EFEFEF"/>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bl>
    <w:p w:rsidR="00110FB6" w:rsidRDefault="00110FB6">
      <w:r>
        <w:br w:type="page"/>
      </w:r>
    </w:p>
    <w:tbl>
      <w:tblPr>
        <w:tblStyle w:val="a"/>
        <w:tblW w:w="13935"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7050"/>
        <w:gridCol w:w="4080"/>
      </w:tblGrid>
      <w:tr w:rsidR="00110FB6" w:rsidTr="006943C6">
        <w:trPr>
          <w:trHeight w:val="420"/>
        </w:trPr>
        <w:tc>
          <w:tcPr>
            <w:tcW w:w="2805" w:type="dxa"/>
            <w:shd w:val="clear" w:color="auto" w:fill="FFF2CC" w:themeFill="accent4" w:themeFillTint="33"/>
            <w:tcMar>
              <w:top w:w="100" w:type="dxa"/>
              <w:left w:w="100" w:type="dxa"/>
              <w:bottom w:w="100" w:type="dxa"/>
              <w:right w:w="100" w:type="dxa"/>
            </w:tcMar>
          </w:tcPr>
          <w:p w:rsidR="00110FB6" w:rsidRPr="00FF4614" w:rsidRDefault="00110FB6" w:rsidP="006943C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lastRenderedPageBreak/>
              <w:t>Element</w:t>
            </w:r>
          </w:p>
        </w:tc>
        <w:tc>
          <w:tcPr>
            <w:tcW w:w="7050" w:type="dxa"/>
            <w:shd w:val="clear" w:color="auto" w:fill="FFF2CC" w:themeFill="accent4" w:themeFillTint="33"/>
            <w:tcMar>
              <w:top w:w="100" w:type="dxa"/>
              <w:left w:w="100" w:type="dxa"/>
              <w:bottom w:w="100" w:type="dxa"/>
              <w:right w:w="100" w:type="dxa"/>
            </w:tcMar>
          </w:tcPr>
          <w:p w:rsidR="00110FB6" w:rsidRPr="00FF4614" w:rsidRDefault="00110FB6" w:rsidP="006943C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t>Questions based on essential features of designated ELD and EL FPM Instrument (EL 14)</w:t>
            </w:r>
          </w:p>
        </w:tc>
        <w:tc>
          <w:tcPr>
            <w:tcW w:w="4080" w:type="dxa"/>
            <w:shd w:val="clear" w:color="auto" w:fill="FFF2CC" w:themeFill="accent4" w:themeFillTint="33"/>
            <w:tcMar>
              <w:top w:w="100" w:type="dxa"/>
              <w:left w:w="100" w:type="dxa"/>
              <w:bottom w:w="100" w:type="dxa"/>
              <w:right w:w="100" w:type="dxa"/>
            </w:tcMar>
          </w:tcPr>
          <w:p w:rsidR="00110FB6" w:rsidRPr="00FF4614" w:rsidRDefault="00110FB6" w:rsidP="006943C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t>Evidence/Notes</w:t>
            </w:r>
          </w:p>
        </w:tc>
      </w:tr>
      <w:tr w:rsidR="004D7F6D">
        <w:trPr>
          <w:trHeight w:val="420"/>
        </w:trPr>
        <w:tc>
          <w:tcPr>
            <w:tcW w:w="2805" w:type="dxa"/>
            <w:vMerge w:val="restart"/>
            <w:shd w:val="clear" w:color="auto" w:fill="auto"/>
            <w:tcMar>
              <w:top w:w="100" w:type="dxa"/>
              <w:left w:w="100" w:type="dxa"/>
              <w:bottom w:w="100" w:type="dxa"/>
              <w:right w:w="100" w:type="dxa"/>
            </w:tcMar>
          </w:tcPr>
          <w:p w:rsidR="004D7F6D" w:rsidRPr="00FF4614" w:rsidRDefault="00000000" w:rsidP="00110FB6">
            <w:pPr>
              <w:widowControl w:val="0"/>
              <w:rPr>
                <w:rFonts w:asciiTheme="majorHAnsi" w:hAnsiTheme="majorHAnsi" w:cstheme="majorHAnsi"/>
                <w:b/>
                <w:sz w:val="20"/>
                <w:szCs w:val="20"/>
              </w:rPr>
            </w:pPr>
            <w:r w:rsidRPr="00FF4614">
              <w:rPr>
                <w:rFonts w:asciiTheme="majorHAnsi" w:hAnsiTheme="majorHAnsi" w:cstheme="majorHAnsi"/>
                <w:b/>
                <w:sz w:val="20"/>
                <w:szCs w:val="20"/>
              </w:rPr>
              <w:t>B</w:t>
            </w:r>
            <w:r w:rsidRPr="00FF4614">
              <w:rPr>
                <w:rFonts w:asciiTheme="majorHAnsi" w:hAnsiTheme="majorHAnsi" w:cstheme="majorHAnsi"/>
                <w:sz w:val="20"/>
                <w:szCs w:val="20"/>
              </w:rPr>
              <w:t xml:space="preserve">. Students are provided a rigorous, </w:t>
            </w:r>
            <w:r w:rsidRPr="00FF4614">
              <w:rPr>
                <w:rFonts w:asciiTheme="majorHAnsi" w:hAnsiTheme="majorHAnsi" w:cstheme="majorHAnsi"/>
                <w:b/>
                <w:sz w:val="20"/>
                <w:szCs w:val="20"/>
              </w:rPr>
              <w:t xml:space="preserve">intellectually rich, standards-based curriculum </w:t>
            </w:r>
            <w:r w:rsidRPr="00FF4614">
              <w:rPr>
                <w:rFonts w:asciiTheme="majorHAnsi" w:hAnsiTheme="majorHAnsi" w:cstheme="majorHAnsi"/>
                <w:sz w:val="20"/>
                <w:szCs w:val="20"/>
              </w:rPr>
              <w:t xml:space="preserve">with instructional scaffolding that increases comprehension and participation and develops student autonomy and mastery. </w:t>
            </w:r>
          </w:p>
        </w:tc>
        <w:tc>
          <w:tcPr>
            <w:tcW w:w="7050" w:type="dxa"/>
            <w:vMerge w:val="restart"/>
            <w:shd w:val="clear" w:color="auto" w:fill="auto"/>
            <w:tcMar>
              <w:top w:w="100" w:type="dxa"/>
              <w:left w:w="100" w:type="dxa"/>
              <w:bottom w:w="100" w:type="dxa"/>
              <w:right w:w="100" w:type="dxa"/>
            </w:tcMar>
          </w:tcPr>
          <w:p w:rsidR="004D7F6D"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Intellectual Quality</w:t>
            </w:r>
            <w:r w:rsidRPr="00FF4614">
              <w:rPr>
                <w:rFonts w:asciiTheme="majorHAnsi" w:hAnsiTheme="majorHAnsi" w:cstheme="majorHAnsi"/>
                <w:b/>
                <w:sz w:val="20"/>
                <w:szCs w:val="20"/>
              </w:rPr>
              <w:t xml:space="preserve">: </w:t>
            </w:r>
            <w:r w:rsidRPr="00FF4614">
              <w:rPr>
                <w:rFonts w:asciiTheme="majorHAnsi" w:hAnsiTheme="majorHAnsi" w:cstheme="majorHAnsi"/>
                <w:sz w:val="20"/>
                <w:szCs w:val="20"/>
              </w:rPr>
              <w:t>How do the core curriculum and the instructional materials support high levels of intellectual engagement?</w:t>
            </w:r>
          </w:p>
          <w:p w:rsidR="00110FB6" w:rsidRPr="00FF4614" w:rsidRDefault="00110FB6" w:rsidP="00110FB6">
            <w:pPr>
              <w:rPr>
                <w:rFonts w:asciiTheme="majorHAnsi" w:hAnsiTheme="majorHAnsi" w:cstheme="majorHAnsi"/>
                <w:sz w:val="20"/>
                <w:szCs w:val="20"/>
              </w:rPr>
            </w:pPr>
          </w:p>
          <w:p w:rsidR="004D7F6D"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Scaffolding</w:t>
            </w:r>
            <w:r w:rsidRPr="00FF4614">
              <w:rPr>
                <w:rFonts w:asciiTheme="majorHAnsi" w:hAnsiTheme="majorHAnsi" w:cstheme="majorHAnsi"/>
                <w:sz w:val="20"/>
                <w:szCs w:val="20"/>
              </w:rPr>
              <w:t>: How does the district/teaching staff ensure and what evidence is there that teachers contextualize language instruction, build on background knowledge, and provide appropriate levels of scaffolding based on different levels of English language.</w:t>
            </w:r>
          </w:p>
          <w:p w:rsidR="00110FB6" w:rsidRPr="00FF4614" w:rsidRDefault="00110FB6" w:rsidP="00110FB6">
            <w:pPr>
              <w:rPr>
                <w:rFonts w:asciiTheme="majorHAnsi" w:hAnsiTheme="majorHAnsi" w:cstheme="majorHAnsi"/>
                <w:sz w:val="20"/>
                <w:szCs w:val="20"/>
              </w:rPr>
            </w:pPr>
          </w:p>
          <w:p w:rsidR="004D7F6D"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Focus on Meaning:</w:t>
            </w:r>
            <w:r w:rsidRPr="00FF4614">
              <w:rPr>
                <w:rFonts w:asciiTheme="majorHAnsi" w:hAnsiTheme="majorHAnsi" w:cstheme="majorHAnsi"/>
                <w:sz w:val="20"/>
                <w:szCs w:val="20"/>
              </w:rPr>
              <w:t xml:space="preserve"> How does the district/teaching staff ensure and what evidence is there that instruction predominantly focuses on meaning, connecting to the language demands of ELA and other content areas? </w:t>
            </w:r>
          </w:p>
          <w:p w:rsidR="00110FB6" w:rsidRPr="00FF4614" w:rsidRDefault="00110FB6" w:rsidP="00110FB6">
            <w:pPr>
              <w:rPr>
                <w:rFonts w:asciiTheme="majorHAnsi" w:hAnsiTheme="majorHAnsi" w:cstheme="majorHAnsi"/>
                <w:sz w:val="20"/>
                <w:szCs w:val="20"/>
              </w:rPr>
            </w:pPr>
          </w:p>
          <w:p w:rsidR="004D7F6D"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Formative Assessment Practices</w:t>
            </w:r>
            <w:r w:rsidRPr="00FF4614">
              <w:rPr>
                <w:rFonts w:asciiTheme="majorHAnsi" w:hAnsiTheme="majorHAnsi" w:cstheme="majorHAnsi"/>
                <w:sz w:val="20"/>
                <w:szCs w:val="20"/>
              </w:rPr>
              <w:t>: How does the district ensure and what evidence is there that</w:t>
            </w:r>
            <w:r w:rsidRPr="00FF4614">
              <w:rPr>
                <w:rFonts w:asciiTheme="majorHAnsi" w:hAnsiTheme="majorHAnsi" w:cstheme="majorHAnsi"/>
                <w:b/>
                <w:sz w:val="20"/>
                <w:szCs w:val="20"/>
              </w:rPr>
              <w:t xml:space="preserve"> </w:t>
            </w:r>
            <w:r w:rsidRPr="00FF4614">
              <w:rPr>
                <w:rFonts w:asciiTheme="majorHAnsi" w:hAnsiTheme="majorHAnsi" w:cstheme="majorHAnsi"/>
                <w:sz w:val="20"/>
                <w:szCs w:val="20"/>
              </w:rPr>
              <w:t xml:space="preserve">teachers frequently monitor student progress through informal observations and ongoing formative assessment practices? </w:t>
            </w:r>
          </w:p>
          <w:p w:rsidR="00110FB6" w:rsidRPr="00FF4614" w:rsidRDefault="00110FB6" w:rsidP="00110FB6">
            <w:pPr>
              <w:rPr>
                <w:rFonts w:asciiTheme="majorHAnsi" w:hAnsiTheme="majorHAnsi" w:cstheme="majorHAnsi"/>
                <w:sz w:val="20"/>
                <w:szCs w:val="20"/>
              </w:rPr>
            </w:pPr>
          </w:p>
          <w:p w:rsidR="004D7F6D"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Corrective Feedback</w:t>
            </w:r>
            <w:r w:rsidRPr="00FF4614">
              <w:rPr>
                <w:rFonts w:asciiTheme="majorHAnsi" w:hAnsiTheme="majorHAnsi" w:cstheme="majorHAnsi"/>
                <w:sz w:val="20"/>
                <w:szCs w:val="20"/>
              </w:rPr>
              <w:t xml:space="preserve">: How does the district ensure and what evidence is there that teachers provide students with judiciously selected corrective feedback on language usage in ways that are transparent and meaningful to students? </w:t>
            </w:r>
          </w:p>
          <w:p w:rsidR="00110FB6" w:rsidRPr="00FF4614" w:rsidRDefault="00110FB6" w:rsidP="00110FB6">
            <w:pPr>
              <w:rPr>
                <w:rFonts w:asciiTheme="majorHAnsi" w:hAnsiTheme="majorHAnsi" w:cstheme="majorHAnsi"/>
                <w:sz w:val="20"/>
                <w:szCs w:val="20"/>
              </w:rPr>
            </w:pPr>
          </w:p>
          <w:p w:rsidR="004D7F6D" w:rsidRPr="00FF4614" w:rsidRDefault="00000000" w:rsidP="00110FB6">
            <w:pPr>
              <w:rPr>
                <w:rFonts w:asciiTheme="majorHAnsi" w:hAnsiTheme="majorHAnsi" w:cstheme="majorHAnsi"/>
                <w:b/>
                <w:sz w:val="20"/>
                <w:szCs w:val="20"/>
              </w:rPr>
            </w:pPr>
            <w:r w:rsidRPr="00FF4614">
              <w:rPr>
                <w:rFonts w:asciiTheme="majorHAnsi" w:hAnsiTheme="majorHAnsi" w:cstheme="majorHAnsi"/>
                <w:b/>
                <w:sz w:val="20"/>
                <w:szCs w:val="20"/>
                <w:u w:val="single"/>
              </w:rPr>
              <w:t>English Learner Federal Program Monitoring Instrument</w:t>
            </w:r>
            <w:r w:rsidRPr="00FF4614">
              <w:rPr>
                <w:rFonts w:asciiTheme="majorHAnsi" w:hAnsiTheme="majorHAnsi" w:cstheme="majorHAnsi"/>
                <w:b/>
                <w:sz w:val="20"/>
                <w:szCs w:val="20"/>
              </w:rPr>
              <w:t xml:space="preserve">: </w:t>
            </w:r>
          </w:p>
          <w:p w:rsidR="004D7F6D" w:rsidRPr="00FF4614" w:rsidRDefault="00000000" w:rsidP="00110FB6">
            <w:pPr>
              <w:rPr>
                <w:rFonts w:asciiTheme="majorHAnsi" w:hAnsiTheme="majorHAnsi" w:cstheme="majorHAnsi"/>
                <w:sz w:val="20"/>
                <w:szCs w:val="20"/>
                <w:highlight w:val="green"/>
              </w:rPr>
            </w:pPr>
            <w:r w:rsidRPr="00FF4614">
              <w:rPr>
                <w:rFonts w:asciiTheme="majorHAnsi" w:hAnsiTheme="majorHAnsi" w:cstheme="majorHAnsi"/>
                <w:sz w:val="20"/>
                <w:szCs w:val="20"/>
              </w:rPr>
              <w:t xml:space="preserve">How does the district ensure and what evidence is there that the district has locally-adopted core ELD curriculum and supplemental instructional materials for all courses in which EL students are enrolled? </w:t>
            </w:r>
          </w:p>
        </w:tc>
        <w:tc>
          <w:tcPr>
            <w:tcW w:w="4080" w:type="dxa"/>
            <w:vMerge w:val="restart"/>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40"/>
        </w:trPr>
        <w:tc>
          <w:tcPr>
            <w:tcW w:w="2805" w:type="dxa"/>
            <w:vMerge/>
            <w:shd w:val="clear" w:color="auto" w:fill="EFEFEF"/>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5835"/>
        </w:trPr>
        <w:tc>
          <w:tcPr>
            <w:tcW w:w="2805"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bl>
    <w:p w:rsidR="00110FB6" w:rsidRDefault="00110FB6">
      <w:r>
        <w:br w:type="page"/>
      </w:r>
    </w:p>
    <w:tbl>
      <w:tblPr>
        <w:tblStyle w:val="a"/>
        <w:tblW w:w="13935"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7050"/>
        <w:gridCol w:w="4080"/>
      </w:tblGrid>
      <w:tr w:rsidR="00110FB6" w:rsidTr="006943C6">
        <w:trPr>
          <w:trHeight w:val="420"/>
        </w:trPr>
        <w:tc>
          <w:tcPr>
            <w:tcW w:w="2805" w:type="dxa"/>
            <w:shd w:val="clear" w:color="auto" w:fill="FFF2CC" w:themeFill="accent4" w:themeFillTint="33"/>
            <w:tcMar>
              <w:top w:w="100" w:type="dxa"/>
              <w:left w:w="100" w:type="dxa"/>
              <w:bottom w:w="100" w:type="dxa"/>
              <w:right w:w="100" w:type="dxa"/>
            </w:tcMar>
          </w:tcPr>
          <w:p w:rsidR="00110FB6" w:rsidRPr="00FF4614" w:rsidRDefault="00110FB6" w:rsidP="006943C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lastRenderedPageBreak/>
              <w:t>Element</w:t>
            </w:r>
          </w:p>
        </w:tc>
        <w:tc>
          <w:tcPr>
            <w:tcW w:w="7050" w:type="dxa"/>
            <w:shd w:val="clear" w:color="auto" w:fill="FFF2CC" w:themeFill="accent4" w:themeFillTint="33"/>
            <w:tcMar>
              <w:top w:w="100" w:type="dxa"/>
              <w:left w:w="100" w:type="dxa"/>
              <w:bottom w:w="100" w:type="dxa"/>
              <w:right w:w="100" w:type="dxa"/>
            </w:tcMar>
          </w:tcPr>
          <w:p w:rsidR="00110FB6" w:rsidRPr="00FF4614" w:rsidRDefault="00110FB6" w:rsidP="006943C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t>Questions based on essential features of designated ELD and EL FPM Instrument (EL 14)</w:t>
            </w:r>
          </w:p>
        </w:tc>
        <w:tc>
          <w:tcPr>
            <w:tcW w:w="4080" w:type="dxa"/>
            <w:shd w:val="clear" w:color="auto" w:fill="FFF2CC" w:themeFill="accent4" w:themeFillTint="33"/>
            <w:tcMar>
              <w:top w:w="100" w:type="dxa"/>
              <w:left w:w="100" w:type="dxa"/>
              <w:bottom w:w="100" w:type="dxa"/>
              <w:right w:w="100" w:type="dxa"/>
            </w:tcMar>
          </w:tcPr>
          <w:p w:rsidR="00110FB6" w:rsidRPr="00FF4614" w:rsidRDefault="00110FB6" w:rsidP="006943C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t>Evidence/Notes</w:t>
            </w:r>
          </w:p>
        </w:tc>
      </w:tr>
      <w:tr w:rsidR="004D7F6D">
        <w:trPr>
          <w:trHeight w:val="420"/>
        </w:trPr>
        <w:tc>
          <w:tcPr>
            <w:tcW w:w="2805" w:type="dxa"/>
            <w:vMerge w:val="restart"/>
            <w:shd w:val="clear" w:color="auto" w:fill="auto"/>
            <w:tcMar>
              <w:top w:w="100" w:type="dxa"/>
              <w:left w:w="100" w:type="dxa"/>
              <w:bottom w:w="100" w:type="dxa"/>
              <w:right w:w="100" w:type="dxa"/>
            </w:tcMar>
          </w:tcPr>
          <w:p w:rsidR="004D7F6D" w:rsidRPr="00FF4614" w:rsidRDefault="00000000" w:rsidP="00110FB6">
            <w:pPr>
              <w:widowControl w:val="0"/>
              <w:rPr>
                <w:rFonts w:asciiTheme="majorHAnsi" w:hAnsiTheme="majorHAnsi" w:cstheme="majorHAnsi"/>
                <w:b/>
                <w:sz w:val="20"/>
                <w:szCs w:val="20"/>
              </w:rPr>
            </w:pPr>
            <w:r w:rsidRPr="00FF4614">
              <w:rPr>
                <w:rFonts w:asciiTheme="majorHAnsi" w:hAnsiTheme="majorHAnsi" w:cstheme="majorHAnsi"/>
                <w:b/>
                <w:sz w:val="20"/>
                <w:szCs w:val="20"/>
              </w:rPr>
              <w:t>C</w:t>
            </w:r>
            <w:r w:rsidRPr="00FF4614">
              <w:rPr>
                <w:rFonts w:asciiTheme="majorHAnsi" w:hAnsiTheme="majorHAnsi" w:cstheme="majorHAnsi"/>
                <w:sz w:val="20"/>
                <w:szCs w:val="20"/>
              </w:rPr>
              <w:t xml:space="preserve">. Teaching and learning emphasize engagement, interaction, discourse, inquiry, and critical thinking with the same </w:t>
            </w:r>
            <w:r w:rsidRPr="00FF4614">
              <w:rPr>
                <w:rFonts w:asciiTheme="majorHAnsi" w:hAnsiTheme="majorHAnsi" w:cstheme="majorHAnsi"/>
                <w:b/>
                <w:sz w:val="20"/>
                <w:szCs w:val="20"/>
              </w:rPr>
              <w:t xml:space="preserve">high expectations </w:t>
            </w:r>
            <w:r w:rsidRPr="00FF4614">
              <w:rPr>
                <w:rFonts w:asciiTheme="majorHAnsi" w:hAnsiTheme="majorHAnsi" w:cstheme="majorHAnsi"/>
                <w:sz w:val="20"/>
                <w:szCs w:val="20"/>
              </w:rPr>
              <w:t xml:space="preserve">for English learners as for all students in each of the content areas. </w:t>
            </w:r>
          </w:p>
        </w:tc>
        <w:tc>
          <w:tcPr>
            <w:tcW w:w="7050" w:type="dxa"/>
            <w:vMerge w:val="restart"/>
            <w:shd w:val="clear" w:color="auto" w:fill="auto"/>
            <w:tcMar>
              <w:top w:w="100" w:type="dxa"/>
              <w:left w:w="100" w:type="dxa"/>
              <w:bottom w:w="100" w:type="dxa"/>
              <w:right w:w="100" w:type="dxa"/>
            </w:tcMar>
          </w:tcPr>
          <w:p w:rsidR="004D7F6D"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Extended Language Interaction</w:t>
            </w:r>
            <w:r w:rsidRPr="00FF4614">
              <w:rPr>
                <w:rFonts w:asciiTheme="majorHAnsi" w:hAnsiTheme="majorHAnsi" w:cstheme="majorHAnsi"/>
                <w:sz w:val="20"/>
                <w:szCs w:val="20"/>
              </w:rPr>
              <w:t>: How does the district ensure and what evidence is there that extended language interaction between students, including ample opportunities for students to communicate in meaningful ways in English, is central to instruction?</w:t>
            </w:r>
          </w:p>
          <w:p w:rsidR="00110FB6" w:rsidRPr="00FF4614" w:rsidRDefault="00110FB6" w:rsidP="00110FB6">
            <w:pPr>
              <w:rPr>
                <w:rFonts w:asciiTheme="majorHAnsi" w:hAnsiTheme="majorHAnsi" w:cstheme="majorHAnsi"/>
                <w:sz w:val="20"/>
                <w:szCs w:val="20"/>
              </w:rPr>
            </w:pPr>
          </w:p>
          <w:p w:rsidR="004D7F6D"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Focus on Forms</w:t>
            </w:r>
            <w:r w:rsidRPr="00FF4614">
              <w:rPr>
                <w:rFonts w:asciiTheme="majorHAnsi" w:hAnsiTheme="majorHAnsi" w:cstheme="majorHAnsi"/>
                <w:sz w:val="20"/>
                <w:szCs w:val="20"/>
              </w:rPr>
              <w:t>: What evidence is there that teaching and learning emphasize engagement, interaction, discourse, inquiry, and critical thinking with the same high expectations for English learners as for all students in each content area?</w:t>
            </w:r>
          </w:p>
          <w:p w:rsidR="00110FB6" w:rsidRPr="00FF4614" w:rsidRDefault="00110FB6" w:rsidP="00110FB6">
            <w:pPr>
              <w:rPr>
                <w:rFonts w:asciiTheme="majorHAnsi" w:hAnsiTheme="majorHAnsi" w:cstheme="majorHAnsi"/>
                <w:sz w:val="20"/>
                <w:szCs w:val="20"/>
              </w:rPr>
            </w:pPr>
          </w:p>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Corrective Feedback</w:t>
            </w:r>
            <w:r w:rsidRPr="00FF4614">
              <w:rPr>
                <w:rFonts w:asciiTheme="majorHAnsi" w:hAnsiTheme="majorHAnsi" w:cstheme="majorHAnsi"/>
                <w:sz w:val="20"/>
                <w:szCs w:val="20"/>
              </w:rPr>
              <w:t xml:space="preserve">: How does the district ensure and what evidence is there that teachers provide students with judiciously selected corrective feedback on language usage in ways that are transparent and meaningful to students? </w:t>
            </w:r>
            <w:r w:rsidRPr="00FF4614">
              <w:rPr>
                <w:rFonts w:asciiTheme="majorHAnsi" w:hAnsiTheme="majorHAnsi" w:cstheme="majorHAnsi"/>
                <w:sz w:val="20"/>
                <w:szCs w:val="20"/>
                <w:highlight w:val="green"/>
              </w:rPr>
              <w:t xml:space="preserve"> </w:t>
            </w:r>
          </w:p>
        </w:tc>
        <w:tc>
          <w:tcPr>
            <w:tcW w:w="4080" w:type="dxa"/>
            <w:vMerge w:val="restart"/>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40"/>
        </w:trPr>
        <w:tc>
          <w:tcPr>
            <w:tcW w:w="2805" w:type="dxa"/>
            <w:vMerge/>
            <w:shd w:val="clear" w:color="auto" w:fill="EFEFEF"/>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val="restart"/>
            <w:shd w:val="clear" w:color="auto" w:fill="auto"/>
            <w:tcMar>
              <w:top w:w="100" w:type="dxa"/>
              <w:left w:w="100" w:type="dxa"/>
              <w:bottom w:w="100" w:type="dxa"/>
              <w:right w:w="100" w:type="dxa"/>
            </w:tcMar>
          </w:tcPr>
          <w:p w:rsidR="004D7F6D" w:rsidRPr="00FF4614" w:rsidRDefault="00000000" w:rsidP="00110FB6">
            <w:pPr>
              <w:widowControl w:val="0"/>
              <w:rPr>
                <w:rFonts w:asciiTheme="majorHAnsi" w:hAnsiTheme="majorHAnsi" w:cstheme="majorHAnsi"/>
                <w:b/>
                <w:sz w:val="20"/>
                <w:szCs w:val="20"/>
              </w:rPr>
            </w:pPr>
            <w:r w:rsidRPr="00FF4614">
              <w:rPr>
                <w:rFonts w:asciiTheme="majorHAnsi" w:hAnsiTheme="majorHAnsi" w:cstheme="majorHAnsi"/>
                <w:b/>
                <w:sz w:val="20"/>
                <w:szCs w:val="20"/>
              </w:rPr>
              <w:t>D</w:t>
            </w:r>
            <w:r w:rsidRPr="00FF4614">
              <w:rPr>
                <w:rFonts w:asciiTheme="majorHAnsi" w:hAnsiTheme="majorHAnsi" w:cstheme="majorHAnsi"/>
                <w:sz w:val="20"/>
                <w:szCs w:val="20"/>
              </w:rPr>
              <w:t xml:space="preserve">. English learners are provided </w:t>
            </w:r>
            <w:r w:rsidRPr="00FF4614">
              <w:rPr>
                <w:rFonts w:asciiTheme="majorHAnsi" w:hAnsiTheme="majorHAnsi" w:cstheme="majorHAnsi"/>
                <w:b/>
                <w:sz w:val="20"/>
                <w:szCs w:val="20"/>
              </w:rPr>
              <w:t xml:space="preserve">access to the full curriculum </w:t>
            </w:r>
            <w:r w:rsidRPr="00FF4614">
              <w:rPr>
                <w:rFonts w:asciiTheme="majorHAnsi" w:hAnsiTheme="majorHAnsi" w:cstheme="majorHAnsi"/>
                <w:sz w:val="20"/>
                <w:szCs w:val="20"/>
              </w:rPr>
              <w:t xml:space="preserve">along with the provision of appropriate EL supports and services. </w:t>
            </w:r>
          </w:p>
        </w:tc>
        <w:tc>
          <w:tcPr>
            <w:tcW w:w="7050" w:type="dxa"/>
            <w:vMerge w:val="restart"/>
            <w:shd w:val="clear" w:color="auto" w:fill="auto"/>
            <w:tcMar>
              <w:top w:w="100" w:type="dxa"/>
              <w:left w:w="100" w:type="dxa"/>
              <w:bottom w:w="100" w:type="dxa"/>
              <w:right w:w="100" w:type="dxa"/>
            </w:tcMar>
          </w:tcPr>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Scaffolding</w:t>
            </w:r>
            <w:r w:rsidRPr="00FF4614">
              <w:rPr>
                <w:rFonts w:asciiTheme="majorHAnsi" w:hAnsiTheme="majorHAnsi" w:cstheme="majorHAnsi"/>
                <w:sz w:val="20"/>
                <w:szCs w:val="20"/>
              </w:rPr>
              <w:t>: How does the district/teaching staff ensure and what evidence is there that teachers contextualize language instruction, build on background knowledge, and provide appropriate levels of scaffolding based on different levels of English language.</w:t>
            </w:r>
          </w:p>
          <w:p w:rsidR="00110FB6" w:rsidRDefault="00110FB6" w:rsidP="00110FB6">
            <w:pPr>
              <w:rPr>
                <w:rFonts w:asciiTheme="majorHAnsi" w:hAnsiTheme="majorHAnsi" w:cstheme="majorHAnsi"/>
                <w:b/>
                <w:sz w:val="20"/>
                <w:szCs w:val="20"/>
                <w:u w:val="single"/>
              </w:rPr>
            </w:pPr>
          </w:p>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English Learner Federal Program Monitoring Instrumen</w:t>
            </w:r>
            <w:r w:rsidRPr="00FF4614">
              <w:rPr>
                <w:rFonts w:asciiTheme="majorHAnsi" w:hAnsiTheme="majorHAnsi" w:cstheme="majorHAnsi"/>
                <w:b/>
                <w:sz w:val="20"/>
                <w:szCs w:val="20"/>
              </w:rPr>
              <w:t xml:space="preserve">t: </w:t>
            </w:r>
            <w:r w:rsidRPr="00FF4614">
              <w:rPr>
                <w:rFonts w:asciiTheme="majorHAnsi" w:hAnsiTheme="majorHAnsi" w:cstheme="majorHAnsi"/>
                <w:sz w:val="20"/>
                <w:szCs w:val="20"/>
              </w:rPr>
              <w:t xml:space="preserve">When and how do you provide ELD to ELs with disabilities? </w:t>
            </w:r>
          </w:p>
        </w:tc>
        <w:tc>
          <w:tcPr>
            <w:tcW w:w="4080" w:type="dxa"/>
            <w:vMerge w:val="restart"/>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shd w:val="clear" w:color="auto" w:fill="EFEFEF"/>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val="restart"/>
            <w:shd w:val="clear" w:color="auto" w:fill="auto"/>
            <w:tcMar>
              <w:top w:w="100" w:type="dxa"/>
              <w:left w:w="100" w:type="dxa"/>
              <w:bottom w:w="100" w:type="dxa"/>
              <w:right w:w="100" w:type="dxa"/>
            </w:tcMar>
          </w:tcPr>
          <w:p w:rsidR="004D7F6D" w:rsidRPr="00FF4614" w:rsidRDefault="00000000" w:rsidP="00110FB6">
            <w:pPr>
              <w:widowControl w:val="0"/>
              <w:rPr>
                <w:rFonts w:asciiTheme="majorHAnsi" w:hAnsiTheme="majorHAnsi" w:cstheme="majorHAnsi"/>
                <w:b/>
                <w:sz w:val="20"/>
                <w:szCs w:val="20"/>
              </w:rPr>
            </w:pPr>
            <w:r w:rsidRPr="00FF4614">
              <w:rPr>
                <w:rFonts w:asciiTheme="majorHAnsi" w:hAnsiTheme="majorHAnsi" w:cstheme="majorHAnsi"/>
                <w:b/>
                <w:sz w:val="20"/>
                <w:szCs w:val="20"/>
              </w:rPr>
              <w:t>E</w:t>
            </w:r>
            <w:r w:rsidRPr="00FF4614">
              <w:rPr>
                <w:rFonts w:asciiTheme="majorHAnsi" w:hAnsiTheme="majorHAnsi" w:cstheme="majorHAnsi"/>
                <w:sz w:val="20"/>
                <w:szCs w:val="20"/>
              </w:rPr>
              <w:t xml:space="preserve">. Students’ </w:t>
            </w:r>
            <w:r w:rsidRPr="00FF4614">
              <w:rPr>
                <w:rFonts w:asciiTheme="majorHAnsi" w:hAnsiTheme="majorHAnsi" w:cstheme="majorHAnsi"/>
                <w:b/>
                <w:sz w:val="20"/>
                <w:szCs w:val="20"/>
              </w:rPr>
              <w:t xml:space="preserve">home language </w:t>
            </w:r>
            <w:r w:rsidRPr="00FF4614">
              <w:rPr>
                <w:rFonts w:asciiTheme="majorHAnsi" w:hAnsiTheme="majorHAnsi" w:cstheme="majorHAnsi"/>
                <w:sz w:val="20"/>
                <w:szCs w:val="20"/>
              </w:rPr>
              <w:t>is understood as a means to access subject matter content, as a foundation for developing English, and, where possible, is developed to high levels of literacy and proficiency along with English.</w:t>
            </w:r>
          </w:p>
        </w:tc>
        <w:tc>
          <w:tcPr>
            <w:tcW w:w="7050" w:type="dxa"/>
            <w:vMerge w:val="restart"/>
            <w:shd w:val="clear" w:color="auto" w:fill="auto"/>
            <w:tcMar>
              <w:top w:w="100" w:type="dxa"/>
              <w:left w:w="100" w:type="dxa"/>
              <w:bottom w:w="100" w:type="dxa"/>
              <w:right w:w="100" w:type="dxa"/>
            </w:tcMar>
          </w:tcPr>
          <w:p w:rsidR="004D7F6D" w:rsidRPr="00FF4614" w:rsidRDefault="00000000" w:rsidP="00110FB6">
            <w:pPr>
              <w:widowControl w:val="0"/>
              <w:spacing w:line="240" w:lineRule="auto"/>
              <w:rPr>
                <w:rFonts w:asciiTheme="majorHAnsi" w:hAnsiTheme="majorHAnsi" w:cstheme="majorHAnsi"/>
                <w:sz w:val="20"/>
                <w:szCs w:val="20"/>
              </w:rPr>
            </w:pPr>
            <w:r w:rsidRPr="00FF4614">
              <w:rPr>
                <w:rFonts w:asciiTheme="majorHAnsi" w:hAnsiTheme="majorHAnsi" w:cstheme="majorHAnsi"/>
                <w:sz w:val="20"/>
                <w:szCs w:val="20"/>
              </w:rPr>
              <w:t xml:space="preserve">What evidence do you have that the home language is understood as a means to access subject matter as a foundation for learning English and where possible, developed to high levels of proficiency? </w:t>
            </w:r>
          </w:p>
        </w:tc>
        <w:tc>
          <w:tcPr>
            <w:tcW w:w="4080" w:type="dxa"/>
            <w:vMerge w:val="restart"/>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shd w:val="clear" w:color="auto" w:fill="EFEFEF"/>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110FB6" w:rsidTr="006943C6">
        <w:trPr>
          <w:trHeight w:val="420"/>
        </w:trPr>
        <w:tc>
          <w:tcPr>
            <w:tcW w:w="2805" w:type="dxa"/>
            <w:shd w:val="clear" w:color="auto" w:fill="FFF2CC" w:themeFill="accent4" w:themeFillTint="33"/>
            <w:tcMar>
              <w:top w:w="100" w:type="dxa"/>
              <w:left w:w="100" w:type="dxa"/>
              <w:bottom w:w="100" w:type="dxa"/>
              <w:right w:w="100" w:type="dxa"/>
            </w:tcMar>
          </w:tcPr>
          <w:p w:rsidR="00110FB6" w:rsidRPr="00FF4614" w:rsidRDefault="00110FB6" w:rsidP="006943C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lastRenderedPageBreak/>
              <w:t>Element</w:t>
            </w:r>
          </w:p>
        </w:tc>
        <w:tc>
          <w:tcPr>
            <w:tcW w:w="7050" w:type="dxa"/>
            <w:shd w:val="clear" w:color="auto" w:fill="FFF2CC" w:themeFill="accent4" w:themeFillTint="33"/>
            <w:tcMar>
              <w:top w:w="100" w:type="dxa"/>
              <w:left w:w="100" w:type="dxa"/>
              <w:bottom w:w="100" w:type="dxa"/>
              <w:right w:w="100" w:type="dxa"/>
            </w:tcMar>
          </w:tcPr>
          <w:p w:rsidR="00110FB6" w:rsidRPr="00FF4614" w:rsidRDefault="00110FB6" w:rsidP="006943C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t>Questions based on essential features of designated ELD and EL FPM Instrument (EL 14)</w:t>
            </w:r>
          </w:p>
        </w:tc>
        <w:tc>
          <w:tcPr>
            <w:tcW w:w="4080" w:type="dxa"/>
            <w:shd w:val="clear" w:color="auto" w:fill="FFF2CC" w:themeFill="accent4" w:themeFillTint="33"/>
            <w:tcMar>
              <w:top w:w="100" w:type="dxa"/>
              <w:left w:w="100" w:type="dxa"/>
              <w:bottom w:w="100" w:type="dxa"/>
              <w:right w:w="100" w:type="dxa"/>
            </w:tcMar>
          </w:tcPr>
          <w:p w:rsidR="00110FB6" w:rsidRPr="00FF4614" w:rsidRDefault="00110FB6" w:rsidP="006943C6">
            <w:pPr>
              <w:widowControl w:val="0"/>
              <w:spacing w:line="240" w:lineRule="auto"/>
              <w:rPr>
                <w:rFonts w:asciiTheme="majorHAnsi" w:hAnsiTheme="majorHAnsi" w:cstheme="majorHAnsi"/>
                <w:b/>
                <w:sz w:val="20"/>
                <w:szCs w:val="20"/>
              </w:rPr>
            </w:pPr>
            <w:r w:rsidRPr="00FF4614">
              <w:rPr>
                <w:rFonts w:asciiTheme="majorHAnsi" w:hAnsiTheme="majorHAnsi" w:cstheme="majorHAnsi"/>
                <w:b/>
                <w:sz w:val="20"/>
                <w:szCs w:val="20"/>
              </w:rPr>
              <w:t>Evidence/Notes</w:t>
            </w:r>
          </w:p>
        </w:tc>
      </w:tr>
      <w:tr w:rsidR="004D7F6D">
        <w:trPr>
          <w:trHeight w:val="420"/>
        </w:trPr>
        <w:tc>
          <w:tcPr>
            <w:tcW w:w="2805" w:type="dxa"/>
            <w:vMerge w:val="restart"/>
            <w:shd w:val="clear" w:color="auto" w:fill="auto"/>
            <w:tcMar>
              <w:top w:w="100" w:type="dxa"/>
              <w:left w:w="100" w:type="dxa"/>
              <w:bottom w:w="100" w:type="dxa"/>
              <w:right w:w="100" w:type="dxa"/>
            </w:tcMar>
          </w:tcPr>
          <w:p w:rsidR="004D7F6D" w:rsidRPr="00FF4614" w:rsidRDefault="00000000" w:rsidP="00110FB6">
            <w:pPr>
              <w:spacing w:line="240" w:lineRule="auto"/>
              <w:rPr>
                <w:rFonts w:asciiTheme="majorHAnsi" w:hAnsiTheme="majorHAnsi" w:cstheme="majorHAnsi"/>
                <w:b/>
                <w:sz w:val="20"/>
                <w:szCs w:val="20"/>
              </w:rPr>
            </w:pPr>
            <w:r w:rsidRPr="00FF4614">
              <w:rPr>
                <w:rFonts w:asciiTheme="majorHAnsi" w:hAnsiTheme="majorHAnsi" w:cstheme="majorHAnsi"/>
                <w:b/>
                <w:sz w:val="20"/>
                <w:szCs w:val="20"/>
              </w:rPr>
              <w:t>F</w:t>
            </w:r>
            <w:r w:rsidRPr="00FF4614">
              <w:rPr>
                <w:rFonts w:asciiTheme="majorHAnsi" w:hAnsiTheme="majorHAnsi" w:cstheme="majorHAnsi"/>
                <w:sz w:val="20"/>
                <w:szCs w:val="20"/>
              </w:rPr>
              <w:t xml:space="preserve">. Rigorous </w:t>
            </w:r>
            <w:r w:rsidRPr="00FF4614">
              <w:rPr>
                <w:rFonts w:asciiTheme="majorHAnsi" w:hAnsiTheme="majorHAnsi" w:cstheme="majorHAnsi"/>
                <w:b/>
                <w:sz w:val="20"/>
                <w:szCs w:val="20"/>
              </w:rPr>
              <w:t xml:space="preserve">instructional materials </w:t>
            </w:r>
            <w:r w:rsidRPr="00FF4614">
              <w:rPr>
                <w:rFonts w:asciiTheme="majorHAnsi" w:hAnsiTheme="majorHAnsi" w:cstheme="majorHAnsi"/>
                <w:sz w:val="20"/>
                <w:szCs w:val="20"/>
              </w:rPr>
              <w:t xml:space="preserve">support high levels of intellectual engagement. Explicit scaffolding enables meaningful participation by English learners at different levels of English language proficiency. Integrated language development, content learning, and opportunities for bilingual/biliterate development are appropriate according to the program model. </w:t>
            </w:r>
          </w:p>
        </w:tc>
        <w:tc>
          <w:tcPr>
            <w:tcW w:w="7050" w:type="dxa"/>
            <w:vMerge w:val="restart"/>
            <w:shd w:val="clear" w:color="auto" w:fill="auto"/>
            <w:tcMar>
              <w:top w:w="100" w:type="dxa"/>
              <w:left w:w="100" w:type="dxa"/>
              <w:bottom w:w="100" w:type="dxa"/>
              <w:right w:w="100" w:type="dxa"/>
            </w:tcMar>
          </w:tcPr>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English Learner Federal Program Monitoring Instrumen</w:t>
            </w:r>
            <w:r w:rsidRPr="00FF4614">
              <w:rPr>
                <w:rFonts w:asciiTheme="majorHAnsi" w:hAnsiTheme="majorHAnsi" w:cstheme="majorHAnsi"/>
                <w:b/>
                <w:sz w:val="20"/>
                <w:szCs w:val="20"/>
              </w:rPr>
              <w:t>t:</w:t>
            </w:r>
            <w:r w:rsidRPr="00FF4614">
              <w:rPr>
                <w:rFonts w:asciiTheme="majorHAnsi" w:hAnsiTheme="majorHAnsi" w:cstheme="majorHAnsi"/>
                <w:sz w:val="20"/>
                <w:szCs w:val="20"/>
              </w:rPr>
              <w:t xml:space="preserve">  </w:t>
            </w:r>
          </w:p>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sz w:val="20"/>
                <w:szCs w:val="20"/>
              </w:rPr>
              <w:t xml:space="preserve">How does the district ensure and what evidence is there that your district has locally-adopted core ELD curriculum and supplemental instructional materials for all courses in which EL students are enrolled? </w:t>
            </w:r>
          </w:p>
          <w:p w:rsidR="004D7F6D" w:rsidRDefault="00000000" w:rsidP="00110FB6">
            <w:pPr>
              <w:rPr>
                <w:rFonts w:asciiTheme="majorHAnsi" w:hAnsiTheme="majorHAnsi" w:cstheme="majorHAnsi"/>
                <w:sz w:val="20"/>
                <w:szCs w:val="20"/>
              </w:rPr>
            </w:pPr>
            <w:r w:rsidRPr="00FF4614">
              <w:rPr>
                <w:rFonts w:asciiTheme="majorHAnsi" w:hAnsiTheme="majorHAnsi" w:cstheme="majorHAnsi"/>
                <w:sz w:val="20"/>
                <w:szCs w:val="20"/>
              </w:rPr>
              <w:t>How does the core curriculum and the instructional materials support high levels of intellectual engagement?</w:t>
            </w:r>
          </w:p>
          <w:p w:rsidR="00110FB6" w:rsidRPr="00FF4614" w:rsidRDefault="00110FB6" w:rsidP="00110FB6">
            <w:pPr>
              <w:rPr>
                <w:rFonts w:asciiTheme="majorHAnsi" w:hAnsiTheme="majorHAnsi" w:cstheme="majorHAnsi"/>
                <w:sz w:val="20"/>
                <w:szCs w:val="20"/>
              </w:rPr>
            </w:pPr>
          </w:p>
          <w:p w:rsidR="004D7F6D"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Scaffolding</w:t>
            </w:r>
            <w:r w:rsidRPr="00FF4614">
              <w:rPr>
                <w:rFonts w:asciiTheme="majorHAnsi" w:hAnsiTheme="majorHAnsi" w:cstheme="majorHAnsi"/>
                <w:sz w:val="20"/>
                <w:szCs w:val="20"/>
              </w:rPr>
              <w:t>: How does the district/teaching staff ensure and what evidence is there that teachers contextualize language instruction, build on background knowledge, and provide appropriate levels of scaffolding based on different levels of English language.</w:t>
            </w:r>
          </w:p>
          <w:p w:rsidR="00110FB6" w:rsidRPr="00FF4614" w:rsidRDefault="00110FB6" w:rsidP="00110FB6">
            <w:pPr>
              <w:rPr>
                <w:rFonts w:asciiTheme="majorHAnsi" w:hAnsiTheme="majorHAnsi" w:cstheme="majorHAnsi"/>
                <w:sz w:val="20"/>
                <w:szCs w:val="20"/>
              </w:rPr>
            </w:pPr>
          </w:p>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b/>
                <w:sz w:val="20"/>
                <w:szCs w:val="20"/>
                <w:u w:val="single"/>
              </w:rPr>
              <w:t xml:space="preserve">Planned and Sequenced Events: </w:t>
            </w:r>
            <w:r w:rsidRPr="00FF4614">
              <w:rPr>
                <w:rFonts w:asciiTheme="majorHAnsi" w:hAnsiTheme="majorHAnsi" w:cstheme="majorHAnsi"/>
                <w:sz w:val="20"/>
                <w:szCs w:val="20"/>
              </w:rPr>
              <w:t>How does the district/teaching staff ensure and what evidence is there that lessons and units are carefully planned and sequenced to strategically build language proficiency along with content knowledge?</w:t>
            </w:r>
          </w:p>
        </w:tc>
        <w:tc>
          <w:tcPr>
            <w:tcW w:w="4080" w:type="dxa"/>
            <w:vMerge w:val="restart"/>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shd w:val="clear" w:color="auto" w:fill="EFEFEF"/>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2225"/>
        </w:trPr>
        <w:tc>
          <w:tcPr>
            <w:tcW w:w="2805" w:type="dxa"/>
            <w:vMerge/>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val="restart"/>
            <w:tcMar>
              <w:top w:w="100" w:type="dxa"/>
              <w:left w:w="100" w:type="dxa"/>
              <w:bottom w:w="100" w:type="dxa"/>
              <w:right w:w="100" w:type="dxa"/>
            </w:tcMar>
          </w:tcPr>
          <w:p w:rsidR="004D7F6D" w:rsidRPr="00FF4614" w:rsidRDefault="00000000" w:rsidP="00110FB6">
            <w:pPr>
              <w:spacing w:line="240" w:lineRule="auto"/>
              <w:rPr>
                <w:rFonts w:asciiTheme="majorHAnsi" w:hAnsiTheme="majorHAnsi" w:cstheme="majorHAnsi"/>
                <w:b/>
                <w:sz w:val="20"/>
                <w:szCs w:val="20"/>
              </w:rPr>
            </w:pPr>
            <w:r w:rsidRPr="00FF4614">
              <w:rPr>
                <w:rFonts w:asciiTheme="majorHAnsi" w:hAnsiTheme="majorHAnsi" w:cstheme="majorHAnsi"/>
                <w:b/>
                <w:sz w:val="20"/>
                <w:szCs w:val="20"/>
              </w:rPr>
              <w:t>G</w:t>
            </w:r>
            <w:r w:rsidRPr="00FF4614">
              <w:rPr>
                <w:rFonts w:asciiTheme="majorHAnsi" w:hAnsiTheme="majorHAnsi" w:cstheme="majorHAnsi"/>
                <w:sz w:val="20"/>
                <w:szCs w:val="20"/>
              </w:rPr>
              <w:t xml:space="preserve">. English learners are provided choices of </w:t>
            </w:r>
            <w:r w:rsidRPr="00FF4614">
              <w:rPr>
                <w:rFonts w:asciiTheme="majorHAnsi" w:hAnsiTheme="majorHAnsi" w:cstheme="majorHAnsi"/>
                <w:b/>
                <w:sz w:val="20"/>
                <w:szCs w:val="20"/>
              </w:rPr>
              <w:t xml:space="preserve">research-based language support/development programs </w:t>
            </w:r>
            <w:r w:rsidRPr="00FF4614">
              <w:rPr>
                <w:rFonts w:asciiTheme="majorHAnsi" w:hAnsiTheme="majorHAnsi" w:cstheme="majorHAnsi"/>
                <w:sz w:val="20"/>
                <w:szCs w:val="20"/>
              </w:rPr>
              <w:t>(including options for developing skills in multiple languages) and are enrolled in programs designed to overcome language barriers and provide access to the curriculum.</w:t>
            </w:r>
          </w:p>
        </w:tc>
        <w:tc>
          <w:tcPr>
            <w:tcW w:w="7050" w:type="dxa"/>
            <w:vMerge w:val="restart"/>
            <w:shd w:val="clear" w:color="auto" w:fill="auto"/>
            <w:tcMar>
              <w:top w:w="100" w:type="dxa"/>
              <w:left w:w="100" w:type="dxa"/>
              <w:bottom w:w="100" w:type="dxa"/>
              <w:right w:w="100" w:type="dxa"/>
            </w:tcMar>
          </w:tcPr>
          <w:p w:rsidR="004D7F6D" w:rsidRPr="00FF4614" w:rsidRDefault="00000000" w:rsidP="00110FB6">
            <w:pPr>
              <w:rPr>
                <w:rFonts w:asciiTheme="majorHAnsi" w:hAnsiTheme="majorHAnsi" w:cstheme="majorHAnsi"/>
                <w:b/>
                <w:sz w:val="20"/>
                <w:szCs w:val="20"/>
                <w:u w:val="single"/>
              </w:rPr>
            </w:pPr>
            <w:r w:rsidRPr="00FF4614">
              <w:rPr>
                <w:rFonts w:asciiTheme="majorHAnsi" w:hAnsiTheme="majorHAnsi" w:cstheme="majorHAnsi"/>
                <w:b/>
                <w:sz w:val="20"/>
                <w:szCs w:val="20"/>
                <w:u w:val="single"/>
              </w:rPr>
              <w:t xml:space="preserve">English Learner Federal Program Monitoring Instrument: </w:t>
            </w:r>
          </w:p>
          <w:p w:rsidR="004D7F6D" w:rsidRPr="00FF4614" w:rsidRDefault="00000000" w:rsidP="00110FB6">
            <w:pPr>
              <w:spacing w:line="240" w:lineRule="auto"/>
              <w:rPr>
                <w:rFonts w:asciiTheme="majorHAnsi" w:hAnsiTheme="majorHAnsi" w:cstheme="majorHAnsi"/>
                <w:sz w:val="20"/>
                <w:szCs w:val="20"/>
              </w:rPr>
            </w:pPr>
            <w:r w:rsidRPr="00FF4614">
              <w:rPr>
                <w:rFonts w:asciiTheme="majorHAnsi" w:hAnsiTheme="majorHAnsi" w:cstheme="majorHAnsi"/>
                <w:sz w:val="20"/>
                <w:szCs w:val="20"/>
              </w:rPr>
              <w:t xml:space="preserve">What evidence is there that describes the district’s designated ELD programs, including course sequence, for all grades, transitional kindergarten through grade twelve (TK–12), and all ELP levels? </w:t>
            </w:r>
          </w:p>
          <w:p w:rsidR="004D7F6D" w:rsidRPr="00FF4614" w:rsidRDefault="00000000" w:rsidP="00110FB6">
            <w:pPr>
              <w:spacing w:line="240" w:lineRule="auto"/>
              <w:rPr>
                <w:rFonts w:asciiTheme="majorHAnsi" w:hAnsiTheme="majorHAnsi" w:cstheme="majorHAnsi"/>
                <w:sz w:val="20"/>
                <w:szCs w:val="20"/>
                <w:highlight w:val="green"/>
              </w:rPr>
            </w:pPr>
            <w:r w:rsidRPr="00FF4614">
              <w:rPr>
                <w:rFonts w:asciiTheme="majorHAnsi" w:hAnsiTheme="majorHAnsi" w:cstheme="majorHAnsi"/>
                <w:sz w:val="20"/>
                <w:szCs w:val="20"/>
              </w:rPr>
              <w:t>What evidence does the district have that ELD course descriptions meet the needs of the various EL typologies (e.g. newcomers, LTELS)?</w:t>
            </w:r>
            <w:r w:rsidRPr="00FF4614">
              <w:rPr>
                <w:rFonts w:asciiTheme="majorHAnsi" w:hAnsiTheme="majorHAnsi" w:cstheme="majorHAnsi"/>
                <w:sz w:val="20"/>
                <w:szCs w:val="20"/>
                <w:highlight w:val="green"/>
              </w:rPr>
              <w:t xml:space="preserve"> </w:t>
            </w:r>
          </w:p>
          <w:p w:rsidR="004D7F6D" w:rsidRPr="00FF4614" w:rsidRDefault="00000000" w:rsidP="00110FB6">
            <w:pPr>
              <w:spacing w:line="240" w:lineRule="auto"/>
              <w:rPr>
                <w:rFonts w:asciiTheme="majorHAnsi" w:hAnsiTheme="majorHAnsi" w:cstheme="majorHAnsi"/>
                <w:sz w:val="20"/>
                <w:szCs w:val="20"/>
              </w:rPr>
            </w:pPr>
            <w:r w:rsidRPr="00FF4614">
              <w:rPr>
                <w:rFonts w:asciiTheme="majorHAnsi" w:hAnsiTheme="majorHAnsi" w:cstheme="majorHAnsi"/>
                <w:sz w:val="20"/>
                <w:szCs w:val="20"/>
              </w:rPr>
              <w:t>How does the district ensure and what evidence is there that all English learners are enrolled in a designated ELD course?</w:t>
            </w:r>
          </w:p>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sz w:val="20"/>
                <w:szCs w:val="20"/>
              </w:rPr>
              <w:t>What are your district guidelines for ELD Instruction? (minimum number of daily minutes)?</w:t>
            </w:r>
          </w:p>
          <w:p w:rsidR="004D7F6D" w:rsidRPr="00FF4614" w:rsidRDefault="00000000" w:rsidP="00110FB6">
            <w:pPr>
              <w:spacing w:line="240" w:lineRule="auto"/>
              <w:rPr>
                <w:rFonts w:asciiTheme="majorHAnsi" w:hAnsiTheme="majorHAnsi" w:cstheme="majorHAnsi"/>
                <w:sz w:val="20"/>
                <w:szCs w:val="20"/>
              </w:rPr>
            </w:pPr>
            <w:r w:rsidRPr="00FF4614">
              <w:rPr>
                <w:rFonts w:asciiTheme="majorHAnsi" w:hAnsiTheme="majorHAnsi" w:cstheme="majorHAnsi"/>
                <w:sz w:val="20"/>
                <w:szCs w:val="20"/>
              </w:rPr>
              <w:t>What is the district’s criteria for course placement and expected objectives to progress into the next course or level?</w:t>
            </w:r>
          </w:p>
          <w:p w:rsidR="004D7F6D" w:rsidRPr="00FF4614" w:rsidRDefault="00000000" w:rsidP="00110FB6">
            <w:pPr>
              <w:rPr>
                <w:rFonts w:asciiTheme="majorHAnsi" w:hAnsiTheme="majorHAnsi" w:cstheme="majorHAnsi"/>
                <w:sz w:val="20"/>
                <w:szCs w:val="20"/>
              </w:rPr>
            </w:pPr>
            <w:r w:rsidRPr="00FF4614">
              <w:rPr>
                <w:rFonts w:asciiTheme="majorHAnsi" w:hAnsiTheme="majorHAnsi" w:cstheme="majorHAnsi"/>
                <w:sz w:val="20"/>
                <w:szCs w:val="20"/>
              </w:rPr>
              <w:t>How does the district ensure and what evidence is there that ELD classes are included in the daily or master schedule?</w:t>
            </w:r>
          </w:p>
        </w:tc>
        <w:tc>
          <w:tcPr>
            <w:tcW w:w="4080" w:type="dxa"/>
            <w:vMerge w:val="restart"/>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40"/>
        </w:trPr>
        <w:tc>
          <w:tcPr>
            <w:tcW w:w="2805" w:type="dxa"/>
            <w:vMerge/>
            <w:shd w:val="clear" w:color="auto" w:fill="EFEFEF"/>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b/>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r w:rsidR="004D7F6D">
        <w:trPr>
          <w:trHeight w:val="420"/>
        </w:trPr>
        <w:tc>
          <w:tcPr>
            <w:tcW w:w="2805" w:type="dxa"/>
            <w:vMerge/>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705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c>
          <w:tcPr>
            <w:tcW w:w="4080" w:type="dxa"/>
            <w:vMerge/>
            <w:shd w:val="clear" w:color="auto" w:fill="auto"/>
            <w:tcMar>
              <w:top w:w="100" w:type="dxa"/>
              <w:left w:w="100" w:type="dxa"/>
              <w:bottom w:w="100" w:type="dxa"/>
              <w:right w:w="100" w:type="dxa"/>
            </w:tcMar>
          </w:tcPr>
          <w:p w:rsidR="004D7F6D" w:rsidRPr="00FF4614" w:rsidRDefault="004D7F6D" w:rsidP="00110FB6">
            <w:pPr>
              <w:widowControl w:val="0"/>
              <w:spacing w:line="240" w:lineRule="auto"/>
              <w:rPr>
                <w:rFonts w:asciiTheme="majorHAnsi" w:hAnsiTheme="majorHAnsi" w:cstheme="majorHAnsi"/>
                <w:sz w:val="20"/>
                <w:szCs w:val="20"/>
              </w:rPr>
            </w:pPr>
          </w:p>
        </w:tc>
      </w:tr>
    </w:tbl>
    <w:p w:rsidR="004D7F6D" w:rsidRDefault="004D7F6D"/>
    <w:sectPr w:rsidR="004D7F6D">
      <w:headerReference w:type="default" r:id="rId6"/>
      <w:footerReference w:type="even" r:id="rId7"/>
      <w:footerReference w:type="default" r:id="rId8"/>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5C3" w:rsidRDefault="001C15C3" w:rsidP="0077474F">
      <w:pPr>
        <w:spacing w:line="240" w:lineRule="auto"/>
      </w:pPr>
      <w:r>
        <w:separator/>
      </w:r>
    </w:p>
  </w:endnote>
  <w:endnote w:type="continuationSeparator" w:id="0">
    <w:p w:rsidR="001C15C3" w:rsidRDefault="001C15C3" w:rsidP="00774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2185710"/>
      <w:docPartObj>
        <w:docPartGallery w:val="Page Numbers (Bottom of Page)"/>
        <w:docPartUnique/>
      </w:docPartObj>
    </w:sdtPr>
    <w:sdtContent>
      <w:p w:rsidR="0077474F" w:rsidRDefault="0077474F" w:rsidP="009F7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7474F" w:rsidRDefault="0077474F" w:rsidP="007747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3343733"/>
      <w:docPartObj>
        <w:docPartGallery w:val="Page Numbers (Bottom of Page)"/>
        <w:docPartUnique/>
      </w:docPartObj>
    </w:sdtPr>
    <w:sdtContent>
      <w:p w:rsidR="0077474F" w:rsidRDefault="0077474F" w:rsidP="009F79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77474F" w:rsidRPr="009E4328" w:rsidRDefault="009E4328" w:rsidP="00385CC8">
    <w:pPr>
      <w:pStyle w:val="Footer"/>
      <w:ind w:right="360"/>
      <w:rPr>
        <w:sz w:val="20"/>
        <w:szCs w:val="20"/>
      </w:rPr>
    </w:pPr>
    <w:r>
      <w:rPr>
        <w:b/>
        <w:bCs/>
        <w:noProof/>
      </w:rPr>
      <w:drawing>
        <wp:anchor distT="0" distB="0" distL="114300" distR="114300" simplePos="0" relativeHeight="251658240" behindDoc="0" locked="0" layoutInCell="1" allowOverlap="1">
          <wp:simplePos x="0" y="0"/>
          <wp:positionH relativeFrom="column">
            <wp:posOffset>-328930</wp:posOffset>
          </wp:positionH>
          <wp:positionV relativeFrom="paragraph">
            <wp:posOffset>-109717</wp:posOffset>
          </wp:positionV>
          <wp:extent cx="1174562" cy="361950"/>
          <wp:effectExtent l="0" t="0" r="0" b="0"/>
          <wp:wrapNone/>
          <wp:docPr id="789018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18918" name="Picture 789018918"/>
                  <pic:cNvPicPr/>
                </pic:nvPicPr>
                <pic:blipFill>
                  <a:blip r:embed="rId1">
                    <a:extLst>
                      <a:ext uri="{28A0092B-C50C-407E-A947-70E740481C1C}">
                        <a14:useLocalDpi xmlns:a14="http://schemas.microsoft.com/office/drawing/2010/main" val="0"/>
                      </a:ext>
                    </a:extLst>
                  </a:blip>
                  <a:stretch>
                    <a:fillRect/>
                  </a:stretch>
                </pic:blipFill>
                <pic:spPr>
                  <a:xfrm>
                    <a:off x="0" y="0"/>
                    <a:ext cx="1174562" cy="361950"/>
                  </a:xfrm>
                  <a:prstGeom prst="rect">
                    <a:avLst/>
                  </a:prstGeom>
                </pic:spPr>
              </pic:pic>
            </a:graphicData>
          </a:graphic>
          <wp14:sizeRelH relativeFrom="page">
            <wp14:pctWidth>0</wp14:pctWidth>
          </wp14:sizeRelH>
          <wp14:sizeRelV relativeFrom="page">
            <wp14:pctHeight>0</wp14:pctHeight>
          </wp14:sizeRelV>
        </wp:anchor>
      </w:drawing>
    </w:r>
    <w:r>
      <w:rPr>
        <w:b/>
        <w:bCs/>
      </w:rPr>
      <w:t xml:space="preserve">                       </w:t>
    </w:r>
    <w:r w:rsidR="00385CC8" w:rsidRPr="009E4328">
      <w:rPr>
        <w:sz w:val="20"/>
        <w:szCs w:val="20"/>
      </w:rPr>
      <w:t xml:space="preserve">©2024, </w:t>
    </w:r>
    <w:r w:rsidR="0077474F" w:rsidRPr="009E4328">
      <w:rPr>
        <w:sz w:val="20"/>
        <w:szCs w:val="20"/>
      </w:rPr>
      <w:t>Principle 2 Alignment Tool</w:t>
    </w:r>
    <w:r w:rsidR="00385CC8" w:rsidRPr="009E4328">
      <w:rPr>
        <w:sz w:val="20"/>
        <w:szCs w:val="20"/>
      </w:rPr>
      <w:t xml:space="preserve"> </w:t>
    </w:r>
    <w:r w:rsidR="0077474F" w:rsidRPr="009E4328">
      <w:rPr>
        <w:sz w:val="20"/>
        <w:szCs w:val="20"/>
      </w:rPr>
      <w:t>#1</w:t>
    </w:r>
    <w:r w:rsidR="00385CC8" w:rsidRPr="009E4328">
      <w:rPr>
        <w:sz w:val="20"/>
        <w:szCs w:val="20"/>
      </w:rPr>
      <w:t xml:space="preserve"> [</w:t>
    </w:r>
    <w:r w:rsidR="0077474F" w:rsidRPr="009E4328">
      <w:rPr>
        <w:sz w:val="20"/>
        <w:szCs w:val="20"/>
      </w:rPr>
      <w:t>CABE 2024</w:t>
    </w:r>
    <w:r w:rsidR="00385CC8" w:rsidRPr="009E4328">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5C3" w:rsidRDefault="001C15C3" w:rsidP="0077474F">
      <w:pPr>
        <w:spacing w:line="240" w:lineRule="auto"/>
      </w:pPr>
      <w:r>
        <w:separator/>
      </w:r>
    </w:p>
  </w:footnote>
  <w:footnote w:type="continuationSeparator" w:id="0">
    <w:p w:rsidR="001C15C3" w:rsidRDefault="001C15C3" w:rsidP="007747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430A" w:rsidRPr="007B6A37" w:rsidRDefault="007B6A37">
    <w:pPr>
      <w:pStyle w:val="Header"/>
      <w:rPr>
        <w:b/>
        <w:bCs/>
        <w:lang w:val="en-US"/>
      </w:rPr>
    </w:pPr>
    <w:r w:rsidRPr="007B6A37">
      <w:rPr>
        <w:b/>
        <w:bCs/>
        <w:lang w:val="en-US"/>
      </w:rPr>
      <w:t>CA ELR Principle 2 - Alignment Tool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6D"/>
    <w:rsid w:val="00110FB6"/>
    <w:rsid w:val="001C15C3"/>
    <w:rsid w:val="00385CC8"/>
    <w:rsid w:val="004D7F6D"/>
    <w:rsid w:val="0067430A"/>
    <w:rsid w:val="0077474F"/>
    <w:rsid w:val="007B6A37"/>
    <w:rsid w:val="008C4E08"/>
    <w:rsid w:val="009E4328"/>
    <w:rsid w:val="00CC2F84"/>
    <w:rsid w:val="00F111F9"/>
    <w:rsid w:val="00FF4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ABD9D"/>
  <w15:docId w15:val="{548483BA-0B42-DC44-A594-4E38759E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7474F"/>
    <w:pPr>
      <w:tabs>
        <w:tab w:val="center" w:pos="4680"/>
        <w:tab w:val="right" w:pos="9360"/>
      </w:tabs>
      <w:spacing w:line="240" w:lineRule="auto"/>
    </w:pPr>
  </w:style>
  <w:style w:type="character" w:customStyle="1" w:styleId="HeaderChar">
    <w:name w:val="Header Char"/>
    <w:basedOn w:val="DefaultParagraphFont"/>
    <w:link w:val="Header"/>
    <w:uiPriority w:val="99"/>
    <w:rsid w:val="0077474F"/>
  </w:style>
  <w:style w:type="paragraph" w:styleId="Footer">
    <w:name w:val="footer"/>
    <w:basedOn w:val="Normal"/>
    <w:link w:val="FooterChar"/>
    <w:uiPriority w:val="99"/>
    <w:unhideWhenUsed/>
    <w:rsid w:val="0077474F"/>
    <w:pPr>
      <w:tabs>
        <w:tab w:val="center" w:pos="4680"/>
        <w:tab w:val="right" w:pos="9360"/>
      </w:tabs>
      <w:spacing w:line="240" w:lineRule="auto"/>
    </w:pPr>
  </w:style>
  <w:style w:type="character" w:customStyle="1" w:styleId="FooterChar">
    <w:name w:val="Footer Char"/>
    <w:basedOn w:val="DefaultParagraphFont"/>
    <w:link w:val="Footer"/>
    <w:uiPriority w:val="99"/>
    <w:rsid w:val="0077474F"/>
  </w:style>
  <w:style w:type="character" w:styleId="PageNumber">
    <w:name w:val="page number"/>
    <w:basedOn w:val="DefaultParagraphFont"/>
    <w:uiPriority w:val="99"/>
    <w:semiHidden/>
    <w:unhideWhenUsed/>
    <w:rsid w:val="0077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1143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Rachel Saldivar</cp:lastModifiedBy>
  <cp:revision>8</cp:revision>
  <dcterms:created xsi:type="dcterms:W3CDTF">2024-02-20T06:03:00Z</dcterms:created>
  <dcterms:modified xsi:type="dcterms:W3CDTF">2024-02-20T18:34:00Z</dcterms:modified>
</cp:coreProperties>
</file>